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6A" w:rsidRPr="00DF0C8A" w:rsidRDefault="0089396A" w:rsidP="0089396A">
      <w:pPr>
        <w:spacing w:after="240"/>
        <w:jc w:val="center"/>
        <w:rPr>
          <w:rFonts w:asciiTheme="minorHAnsi" w:hAnsiTheme="minorHAnsi" w:cs="Arial"/>
          <w:b/>
          <w:sz w:val="44"/>
          <w:szCs w:val="44"/>
        </w:rPr>
      </w:pPr>
      <w:r w:rsidRPr="00DF0C8A">
        <w:rPr>
          <w:rFonts w:asciiTheme="minorHAnsi" w:hAnsiTheme="minorHAnsi" w:cs="Arial"/>
          <w:b/>
          <w:noProof/>
          <w:sz w:val="44"/>
          <w:szCs w:val="44"/>
        </w:rPr>
        <w:drawing>
          <wp:inline distT="0" distB="0" distL="0" distR="0">
            <wp:extent cx="733425" cy="984885"/>
            <wp:effectExtent l="19050" t="0" r="9525" b="0"/>
            <wp:docPr id="1" name="Immagine 0" descr="logo CUB quadrotto nero [Converted]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UB quadrotto nero [Converted].e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E11" w:rsidRPr="00C16BC7" w:rsidRDefault="00940E11" w:rsidP="00446653">
      <w:pPr>
        <w:spacing w:after="120"/>
        <w:jc w:val="center"/>
        <w:rPr>
          <w:rFonts w:asciiTheme="minorHAnsi" w:hAnsiTheme="minorHAnsi" w:cs="Arial"/>
          <w:b/>
          <w:color w:val="FF0000"/>
          <w:sz w:val="44"/>
          <w:szCs w:val="44"/>
        </w:rPr>
      </w:pPr>
      <w:r w:rsidRPr="00C16BC7">
        <w:rPr>
          <w:rFonts w:asciiTheme="minorHAnsi" w:hAnsiTheme="minorHAnsi" w:cs="Arial"/>
          <w:b/>
          <w:color w:val="FF0000"/>
          <w:sz w:val="44"/>
          <w:szCs w:val="44"/>
        </w:rPr>
        <w:t xml:space="preserve">DEFINITI I NUOVI COEFFICIENTI </w:t>
      </w:r>
      <w:proofErr w:type="spellStart"/>
      <w:r w:rsidRPr="00C16BC7">
        <w:rPr>
          <w:rFonts w:asciiTheme="minorHAnsi" w:hAnsiTheme="minorHAnsi" w:cs="Arial"/>
          <w:b/>
          <w:color w:val="FF0000"/>
          <w:sz w:val="44"/>
          <w:szCs w:val="44"/>
        </w:rPr>
        <w:t>DI</w:t>
      </w:r>
      <w:proofErr w:type="spellEnd"/>
      <w:r w:rsidRPr="00C16BC7">
        <w:rPr>
          <w:rFonts w:asciiTheme="minorHAnsi" w:hAnsiTheme="minorHAnsi" w:cs="Arial"/>
          <w:b/>
          <w:color w:val="FF0000"/>
          <w:sz w:val="44"/>
          <w:szCs w:val="44"/>
        </w:rPr>
        <w:t xml:space="preserve"> CALCOLO </w:t>
      </w:r>
    </w:p>
    <w:p w:rsidR="0089396A" w:rsidRPr="00C16BC7" w:rsidRDefault="0089396A" w:rsidP="00446653">
      <w:pPr>
        <w:spacing w:after="120"/>
        <w:jc w:val="center"/>
        <w:rPr>
          <w:rFonts w:asciiTheme="minorHAnsi" w:hAnsiTheme="minorHAnsi" w:cs="Arial"/>
          <w:b/>
          <w:color w:val="FF0000"/>
          <w:sz w:val="32"/>
          <w:szCs w:val="32"/>
        </w:rPr>
      </w:pPr>
      <w:r w:rsidRPr="00C16BC7">
        <w:rPr>
          <w:rFonts w:asciiTheme="minorHAnsi" w:hAnsiTheme="minorHAnsi" w:cs="Arial"/>
          <w:b/>
          <w:color w:val="FF0000"/>
          <w:sz w:val="32"/>
          <w:szCs w:val="32"/>
        </w:rPr>
        <w:t>PENSIONI SEMPRE PIÙ LONTANE E</w:t>
      </w:r>
      <w:r w:rsidR="00940E11" w:rsidRPr="00C16BC7">
        <w:rPr>
          <w:rFonts w:asciiTheme="minorHAnsi" w:hAnsiTheme="minorHAnsi" w:cs="Arial"/>
          <w:b/>
          <w:color w:val="FF0000"/>
          <w:sz w:val="32"/>
          <w:szCs w:val="32"/>
        </w:rPr>
        <w:t xml:space="preserve"> </w:t>
      </w:r>
      <w:r w:rsidRPr="00C16BC7">
        <w:rPr>
          <w:rFonts w:asciiTheme="minorHAnsi" w:hAnsiTheme="minorHAnsi" w:cs="Arial"/>
          <w:b/>
          <w:color w:val="FF0000"/>
          <w:sz w:val="32"/>
          <w:szCs w:val="32"/>
        </w:rPr>
        <w:t xml:space="preserve">DA GENNAIO ANCORA PIÙ LEGGERE  </w:t>
      </w:r>
    </w:p>
    <w:p w:rsidR="00446653" w:rsidRPr="00356F01" w:rsidRDefault="00E50A9D" w:rsidP="001F4362">
      <w:pPr>
        <w:jc w:val="both"/>
        <w:rPr>
          <w:rFonts w:asciiTheme="minorHAnsi" w:hAnsiTheme="minorHAnsi" w:cs="Arial"/>
        </w:rPr>
      </w:pPr>
      <w:r w:rsidRPr="00356F01">
        <w:rPr>
          <w:rFonts w:asciiTheme="minorHAnsi" w:hAnsiTheme="minorHAnsi" w:cs="Arial"/>
        </w:rPr>
        <w:t>Dal 2013</w:t>
      </w:r>
      <w:r w:rsidR="0089396A" w:rsidRPr="00356F01">
        <w:rPr>
          <w:rFonts w:asciiTheme="minorHAnsi" w:hAnsiTheme="minorHAnsi" w:cs="Arial"/>
        </w:rPr>
        <w:t xml:space="preserve"> ribassati </w:t>
      </w:r>
      <w:r w:rsidR="00446653" w:rsidRPr="00356F01">
        <w:rPr>
          <w:rFonts w:asciiTheme="minorHAnsi" w:hAnsiTheme="minorHAnsi" w:cs="Arial"/>
        </w:rPr>
        <w:t>del</w:t>
      </w:r>
      <w:r w:rsidR="0089396A" w:rsidRPr="00356F01">
        <w:rPr>
          <w:rFonts w:asciiTheme="minorHAnsi" w:hAnsiTheme="minorHAnsi" w:cs="Arial"/>
        </w:rPr>
        <w:t xml:space="preserve"> 2,6</w:t>
      </w:r>
      <w:r w:rsidR="00446653" w:rsidRPr="00356F01">
        <w:rPr>
          <w:rFonts w:asciiTheme="minorHAnsi" w:hAnsiTheme="minorHAnsi" w:cs="Arial"/>
        </w:rPr>
        <w:t>/3,9</w:t>
      </w:r>
      <w:r w:rsidR="0089396A" w:rsidRPr="00356F01">
        <w:rPr>
          <w:rFonts w:asciiTheme="minorHAnsi" w:hAnsiTheme="minorHAnsi" w:cs="Arial"/>
        </w:rPr>
        <w:t xml:space="preserve"> per cento </w:t>
      </w:r>
      <w:r w:rsidR="00904779">
        <w:rPr>
          <w:rFonts w:asciiTheme="minorHAnsi" w:hAnsiTheme="minorHAnsi" w:cs="Arial"/>
        </w:rPr>
        <w:t xml:space="preserve">i </w:t>
      </w:r>
      <w:r w:rsidR="00904779" w:rsidRPr="00356F01">
        <w:rPr>
          <w:rFonts w:asciiTheme="minorHAnsi" w:hAnsiTheme="minorHAnsi" w:cs="Arial"/>
        </w:rPr>
        <w:t>parametri per il calcolo della pensione con il sistema contributivo rispetto a quelli in vigore nel periodo 2010/2012</w:t>
      </w:r>
      <w:r w:rsidR="00904779">
        <w:rPr>
          <w:rFonts w:asciiTheme="minorHAnsi" w:hAnsiTheme="minorHAnsi" w:cs="Arial"/>
        </w:rPr>
        <w:t>.</w:t>
      </w:r>
      <w:r w:rsidR="00AC5796">
        <w:rPr>
          <w:rFonts w:asciiTheme="minorHAnsi" w:hAnsiTheme="minorHAnsi" w:cs="Arial"/>
        </w:rPr>
        <w:t xml:space="preserve"> Nel 2016 nuova modifica e dal 2019 sarà biennale.</w:t>
      </w:r>
    </w:p>
    <w:p w:rsidR="00C16BC7" w:rsidRPr="00356F01" w:rsidRDefault="00AC5796" w:rsidP="001F436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E’ la</w:t>
      </w:r>
      <w:r w:rsidR="00C16BC7" w:rsidRPr="00356F01">
        <w:rPr>
          <w:rFonts w:asciiTheme="minorHAnsi" w:hAnsiTheme="minorHAnsi" w:cs="Arial"/>
        </w:rPr>
        <w:t xml:space="preserve"> seconda</w:t>
      </w:r>
      <w:r w:rsidR="0089396A" w:rsidRPr="00356F01">
        <w:rPr>
          <w:rFonts w:asciiTheme="minorHAnsi" w:hAnsiTheme="minorHAnsi" w:cs="Arial"/>
        </w:rPr>
        <w:t xml:space="preserve"> </w:t>
      </w:r>
      <w:r w:rsidR="00446653" w:rsidRPr="00356F01">
        <w:rPr>
          <w:rFonts w:asciiTheme="minorHAnsi" w:hAnsiTheme="minorHAnsi" w:cs="Arial"/>
        </w:rPr>
        <w:t>modifica dei</w:t>
      </w:r>
      <w:r w:rsidR="0089396A" w:rsidRPr="00356F01">
        <w:rPr>
          <w:rFonts w:asciiTheme="minorHAnsi" w:hAnsiTheme="minorHAnsi" w:cs="Arial"/>
        </w:rPr>
        <w:t xml:space="preserve"> coefficienti stabiliti nel 1995, anno di introduzione del sistema contributivo</w:t>
      </w:r>
      <w:r w:rsidR="00446653" w:rsidRPr="00356F01">
        <w:rPr>
          <w:rFonts w:asciiTheme="minorHAnsi" w:hAnsiTheme="minorHAnsi" w:cs="Arial"/>
        </w:rPr>
        <w:t xml:space="preserve"> per tener conto dell’aspettativa di vita</w:t>
      </w:r>
      <w:r w:rsidR="0089396A" w:rsidRPr="00356F01">
        <w:rPr>
          <w:rFonts w:asciiTheme="minorHAnsi" w:hAnsiTheme="minorHAnsi" w:cs="Arial"/>
        </w:rPr>
        <w:t xml:space="preserve">. I coefficienti validi dal 2013  e fino al 2015 risultano inferiori a quelli iniziali </w:t>
      </w:r>
      <w:r w:rsidR="00904779">
        <w:rPr>
          <w:rFonts w:asciiTheme="minorHAnsi" w:hAnsiTheme="minorHAnsi" w:cs="Arial"/>
        </w:rPr>
        <w:t xml:space="preserve">de 1995 </w:t>
      </w:r>
      <w:r w:rsidR="0089396A" w:rsidRPr="00356F01">
        <w:rPr>
          <w:rFonts w:asciiTheme="minorHAnsi" w:hAnsiTheme="minorHAnsi" w:cs="Arial"/>
        </w:rPr>
        <w:t>da un minimo di 8,81% ad un massimo dell’11,48%.</w:t>
      </w:r>
      <w:r w:rsidR="00446653" w:rsidRPr="00356F01">
        <w:rPr>
          <w:rFonts w:asciiTheme="minorHAnsi" w:hAnsiTheme="minorHAnsi" w:cs="Arial"/>
        </w:rPr>
        <w:t xml:space="preserve"> </w:t>
      </w:r>
    </w:p>
    <w:p w:rsidR="001F4362" w:rsidRPr="00356F01" w:rsidRDefault="00904779" w:rsidP="001F436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89396A" w:rsidRPr="00356F01">
        <w:rPr>
          <w:rFonts w:asciiTheme="minorHAnsi" w:hAnsiTheme="minorHAnsi" w:cs="Arial"/>
        </w:rPr>
        <w:t xml:space="preserve"> parità di contributi accantonati</w:t>
      </w:r>
      <w:r w:rsidR="00C16BC7" w:rsidRPr="00356F01">
        <w:rPr>
          <w:rFonts w:asciiTheme="minorHAnsi" w:hAnsiTheme="minorHAnsi" w:cs="Arial"/>
        </w:rPr>
        <w:t>,</w:t>
      </w:r>
      <w:r w:rsidR="0089396A" w:rsidRPr="00356F01">
        <w:rPr>
          <w:rFonts w:asciiTheme="minorHAnsi" w:hAnsiTheme="minorHAnsi" w:cs="Arial"/>
        </w:rPr>
        <w:t xml:space="preserve"> per avere </w:t>
      </w:r>
      <w:r w:rsidR="001F4362" w:rsidRPr="00356F01">
        <w:rPr>
          <w:rFonts w:asciiTheme="minorHAnsi" w:hAnsiTheme="minorHAnsi" w:cs="Arial"/>
        </w:rPr>
        <w:t xml:space="preserve">lo stesso importo di pensione che si riceveva nel 1995 a 65 anni, nel 2013  bisognerà </w:t>
      </w:r>
      <w:r w:rsidR="00446653" w:rsidRPr="00356F01">
        <w:rPr>
          <w:rFonts w:asciiTheme="minorHAnsi" w:hAnsiTheme="minorHAnsi" w:cs="Arial"/>
        </w:rPr>
        <w:t xml:space="preserve">andare in pensione a </w:t>
      </w:r>
      <w:r w:rsidR="001F4362" w:rsidRPr="00356F01">
        <w:rPr>
          <w:rFonts w:asciiTheme="minorHAnsi" w:hAnsiTheme="minorHAnsi" w:cs="Arial"/>
        </w:rPr>
        <w:t xml:space="preserve"> 68 anni </w:t>
      </w:r>
      <w:r w:rsidR="00446653" w:rsidRPr="00356F01">
        <w:rPr>
          <w:rFonts w:asciiTheme="minorHAnsi" w:hAnsiTheme="minorHAnsi" w:cs="Arial"/>
        </w:rPr>
        <w:t xml:space="preserve">e mezzo </w:t>
      </w:r>
      <w:r w:rsidR="001F4362" w:rsidRPr="00356F01">
        <w:rPr>
          <w:rFonts w:asciiTheme="minorHAnsi" w:hAnsiTheme="minorHAnsi" w:cs="Arial"/>
        </w:rPr>
        <w:t>di età.</w:t>
      </w:r>
    </w:p>
    <w:p w:rsidR="0089396A" w:rsidRPr="00940E11" w:rsidRDefault="0089396A" w:rsidP="0089396A">
      <w:pPr>
        <w:rPr>
          <w:rFonts w:asciiTheme="minorHAnsi" w:hAnsiTheme="minorHAnsi" w:cs="Arial"/>
          <w:sz w:val="22"/>
          <w:szCs w:val="22"/>
        </w:rPr>
      </w:pPr>
    </w:p>
    <w:tbl>
      <w:tblPr>
        <w:tblW w:w="731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27"/>
        <w:gridCol w:w="1418"/>
        <w:gridCol w:w="1280"/>
        <w:gridCol w:w="969"/>
        <w:gridCol w:w="1280"/>
        <w:gridCol w:w="969"/>
        <w:gridCol w:w="969"/>
      </w:tblGrid>
      <w:tr w:rsidR="0089396A" w:rsidRPr="00940E11" w:rsidTr="00247212">
        <w:trPr>
          <w:trHeight w:val="300"/>
          <w:jc w:val="center"/>
        </w:trPr>
        <w:tc>
          <w:tcPr>
            <w:tcW w:w="7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40E1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Valori coefficienti calcolo pensione sistema contributivo da 1995 al 2013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466EBC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89396A"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oefficiente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466EBC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89396A"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oefficiente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Taglio 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466EBC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89396A"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oefficiente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Taglio 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Taglio %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Età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95-10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10-13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95-13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-6,35593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4,304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-2,62443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-8,81356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-6,58436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4,416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-2,73128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-9,1358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-6,98603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4,535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-2,6824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-9,48104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-6,97674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4,661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-2,89583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-9,67054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-7,31707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4,796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-2,91498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-10,0188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-7,6225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-2,94695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-10,3448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-7,88091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5,094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-3,15589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-10,7881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5,43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-8,12183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5,259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-3,14917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-11,0152</w:t>
            </w:r>
          </w:p>
        </w:tc>
      </w:tr>
      <w:tr w:rsidR="0089396A" w:rsidRPr="00940E11" w:rsidTr="00247212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-8,46906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5,435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-3,29181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E50A9D" w:rsidRDefault="0089396A">
            <w:pPr>
              <w:jc w:val="right"/>
              <w:rPr>
                <w:rFonts w:asciiTheme="minorHAnsi" w:hAnsiTheme="minorHAnsi"/>
                <w:i/>
                <w:color w:val="000000"/>
              </w:rPr>
            </w:pPr>
            <w:r w:rsidRPr="00E50A9D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-11,4821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5,524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5,826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6,046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6,283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89396A" w:rsidRPr="00940E11" w:rsidTr="00247212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jc w:val="right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 w:rsidP="00E50A9D">
            <w:pPr>
              <w:jc w:val="center"/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6,541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96A" w:rsidRPr="00940E11" w:rsidRDefault="0089396A">
            <w:pPr>
              <w:rPr>
                <w:rFonts w:asciiTheme="minorHAnsi" w:hAnsiTheme="minorHAnsi"/>
                <w:color w:val="000000"/>
              </w:rPr>
            </w:pPr>
            <w:r w:rsidRPr="00940E1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940E11" w:rsidRDefault="00940E11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446653" w:rsidRPr="00356F01" w:rsidRDefault="00C16BC7" w:rsidP="00DF0C8A">
      <w:pPr>
        <w:jc w:val="both"/>
        <w:rPr>
          <w:rStyle w:val="Enfasicorsivo"/>
          <w:rFonts w:asciiTheme="minorHAnsi" w:hAnsiTheme="minorHAnsi"/>
          <w:color w:val="000000"/>
          <w:bdr w:val="none" w:sz="0" w:space="0" w:color="auto" w:frame="1"/>
          <w:shd w:val="clear" w:color="auto" w:fill="FFFFFF"/>
        </w:rPr>
      </w:pPr>
      <w:r w:rsidRPr="00356F01">
        <w:rPr>
          <w:rStyle w:val="Enfasicorsivo"/>
          <w:rFonts w:asciiTheme="minorHAnsi" w:hAnsiTheme="minorHAnsi"/>
          <w:i w:val="0"/>
          <w:color w:val="000000"/>
          <w:bdr w:val="none" w:sz="0" w:space="0" w:color="auto" w:frame="1"/>
          <w:shd w:val="clear" w:color="auto" w:fill="FFFFFF"/>
        </w:rPr>
        <w:t>Ma non è finita</w:t>
      </w:r>
      <w:r w:rsidRPr="00356F01">
        <w:rPr>
          <w:rFonts w:asciiTheme="minorHAnsi" w:hAnsiTheme="minorHAnsi"/>
          <w:i/>
          <w:color w:val="000000"/>
          <w:shd w:val="clear" w:color="auto" w:fill="FFFFFF"/>
        </w:rPr>
        <w:t>,</w:t>
      </w:r>
      <w:r w:rsidRPr="00356F01">
        <w:rPr>
          <w:rFonts w:asciiTheme="minorHAnsi" w:hAnsiTheme="minorHAnsi"/>
          <w:color w:val="000000"/>
          <w:shd w:val="clear" w:color="auto" w:fill="FFFFFF"/>
        </w:rPr>
        <w:t xml:space="preserve"> s</w:t>
      </w:r>
      <w:r w:rsidR="00446653" w:rsidRPr="00356F01">
        <w:rPr>
          <w:rFonts w:asciiTheme="minorHAnsi" w:hAnsiTheme="minorHAnsi"/>
          <w:color w:val="000000"/>
          <w:shd w:val="clear" w:color="auto" w:fill="FFFFFF"/>
        </w:rPr>
        <w:t xml:space="preserve">econdo la </w:t>
      </w:r>
      <w:proofErr w:type="spellStart"/>
      <w:r w:rsidR="00446653" w:rsidRPr="00356F01">
        <w:rPr>
          <w:rFonts w:asciiTheme="minorHAnsi" w:hAnsiTheme="minorHAnsi"/>
          <w:color w:val="000000"/>
          <w:shd w:val="clear" w:color="auto" w:fill="FFFFFF"/>
        </w:rPr>
        <w:t>Fornero</w:t>
      </w:r>
      <w:proofErr w:type="spellEnd"/>
      <w:r w:rsidR="00446653" w:rsidRPr="00356F01">
        <w:rPr>
          <w:rFonts w:asciiTheme="minorHAnsi" w:hAnsiTheme="minorHAnsi"/>
          <w:color w:val="000000"/>
          <w:shd w:val="clear" w:color="auto" w:fill="FFFFFF"/>
        </w:rPr>
        <w:t xml:space="preserve">: </w:t>
      </w:r>
      <w:r w:rsidR="00940E11" w:rsidRPr="00356F0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1C19E1" w:rsidRPr="001C19E1">
        <w:rPr>
          <w:rFonts w:asciiTheme="minorHAnsi" w:hAnsiTheme="minorHAnsi"/>
          <w:color w:val="000000"/>
          <w:shd w:val="clear" w:color="auto" w:fill="FFFFFF"/>
        </w:rPr>
        <w:t xml:space="preserve">“ </w:t>
      </w:r>
      <w:r w:rsidR="001C19E1" w:rsidRPr="001C19E1">
        <w:rPr>
          <w:rFonts w:asciiTheme="minorHAnsi" w:hAnsiTheme="minorHAnsi"/>
          <w:i/>
          <w:color w:val="000000"/>
        </w:rPr>
        <w:t>la riforma delle pensioni  è stata varata senza grandi consultazioni con le parti sociali riservando ad esse una parte finale di comunicazione</w:t>
      </w:r>
      <w:r w:rsidR="001C19E1" w:rsidRPr="001C19E1">
        <w:rPr>
          <w:rFonts w:asciiTheme="minorHAnsi" w:hAnsiTheme="minorHAnsi"/>
          <w:color w:val="000000"/>
          <w:shd w:val="clear" w:color="auto" w:fill="FFFFFF"/>
        </w:rPr>
        <w:t>.</w:t>
      </w:r>
      <w:r w:rsidR="001C19E1" w:rsidRPr="00356F0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940E11" w:rsidRPr="00356F01">
        <w:rPr>
          <w:rStyle w:val="Enfasicorsivo"/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>Abbiamo sostanzialmente eliminato le pensioni di anzianità, innalzato i limiti di età, equiparato i limiti di età di pensionamento  uomini/ donne e introdotto il contributivo per tutti...... fra qualche anno ( fra  6/10 anni) con i risparmi nel frattempo realizzati , si può pensare ad una graduale riduzione dell’aliquota pensionistica  pubblica con la possibilità di devolvere questa riduzione a fondi privati.</w:t>
      </w:r>
      <w:r w:rsidR="00DF0C8A" w:rsidRPr="00356F01">
        <w:rPr>
          <w:rStyle w:val="Enfasicorsivo"/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>”</w:t>
      </w:r>
      <w:r w:rsidR="00940E11" w:rsidRPr="00356F01">
        <w:rPr>
          <w:rStyle w:val="Enfasicorsivo"/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446653" w:rsidRPr="00E304C0" w:rsidRDefault="00446653" w:rsidP="00DF0C8A">
      <w:pPr>
        <w:jc w:val="both"/>
        <w:rPr>
          <w:rStyle w:val="Enfasicorsivo"/>
          <w:rFonts w:asciiTheme="minorHAnsi" w:hAnsi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5875E8" w:rsidRDefault="00446653" w:rsidP="00DF0C8A">
      <w:pPr>
        <w:jc w:val="both"/>
        <w:rPr>
          <w:rFonts w:asciiTheme="minorHAnsi" w:hAnsiTheme="minorHAnsi"/>
          <w:color w:val="000000"/>
          <w:shd w:val="clear" w:color="auto" w:fill="FFFFFF"/>
        </w:rPr>
      </w:pPr>
      <w:r w:rsidRPr="00356F01">
        <w:rPr>
          <w:rFonts w:asciiTheme="minorHAnsi" w:hAnsiTheme="minorHAnsi"/>
          <w:color w:val="000000"/>
          <w:shd w:val="clear" w:color="auto" w:fill="FFFFFF"/>
        </w:rPr>
        <w:t xml:space="preserve">La previdenza per il governo insomma è un cantiere aperto </w:t>
      </w:r>
      <w:r w:rsidR="00DF0C8A" w:rsidRPr="00356F01">
        <w:rPr>
          <w:rFonts w:asciiTheme="minorHAnsi" w:hAnsiTheme="minorHAnsi"/>
          <w:color w:val="000000"/>
          <w:shd w:val="clear" w:color="auto" w:fill="FFFFFF"/>
        </w:rPr>
        <w:t xml:space="preserve">e una variabile dipendente del bilancio dello stato e del progetto di favorire, con la previdenza integrativa, la speculazione finanziaria che tanti </w:t>
      </w:r>
      <w:r w:rsidR="001476E6" w:rsidRPr="00356F01">
        <w:rPr>
          <w:rFonts w:asciiTheme="minorHAnsi" w:hAnsiTheme="minorHAnsi"/>
          <w:color w:val="000000"/>
          <w:shd w:val="clear" w:color="auto" w:fill="FFFFFF"/>
        </w:rPr>
        <w:t xml:space="preserve">danni sta provocando. </w:t>
      </w:r>
      <w:r w:rsidR="001C19E1">
        <w:rPr>
          <w:rFonts w:asciiTheme="minorHAnsi" w:hAnsiTheme="minorHAnsi"/>
          <w:color w:val="000000"/>
          <w:shd w:val="clear" w:color="auto" w:fill="FFFFFF"/>
        </w:rPr>
        <w:t xml:space="preserve">Per la </w:t>
      </w:r>
      <w:proofErr w:type="spellStart"/>
      <w:r w:rsidR="001C19E1">
        <w:rPr>
          <w:rFonts w:asciiTheme="minorHAnsi" w:hAnsiTheme="minorHAnsi"/>
          <w:color w:val="000000"/>
          <w:shd w:val="clear" w:color="auto" w:fill="FFFFFF"/>
        </w:rPr>
        <w:t>Cub</w:t>
      </w:r>
      <w:proofErr w:type="spellEnd"/>
      <w:r w:rsidR="001C19E1">
        <w:rPr>
          <w:rFonts w:asciiTheme="minorHAnsi" w:hAnsiTheme="minorHAnsi"/>
          <w:color w:val="000000"/>
          <w:shd w:val="clear" w:color="auto" w:fill="FFFFFF"/>
        </w:rPr>
        <w:t xml:space="preserve"> invece b</w:t>
      </w:r>
      <w:r w:rsidR="001476E6" w:rsidRPr="00356F01">
        <w:rPr>
          <w:rFonts w:asciiTheme="minorHAnsi" w:hAnsiTheme="minorHAnsi"/>
          <w:color w:val="000000"/>
          <w:shd w:val="clear" w:color="auto" w:fill="FFFFFF"/>
        </w:rPr>
        <w:t>isogna riconquistare</w:t>
      </w:r>
      <w:r w:rsidRPr="00356F0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1C19E1">
        <w:rPr>
          <w:rFonts w:asciiTheme="minorHAnsi" w:hAnsiTheme="minorHAnsi"/>
          <w:color w:val="000000"/>
          <w:shd w:val="clear" w:color="auto" w:fill="FFFFFF"/>
        </w:rPr>
        <w:t>la</w:t>
      </w:r>
      <w:r w:rsidRPr="00356F01">
        <w:rPr>
          <w:rFonts w:asciiTheme="minorHAnsi" w:hAnsiTheme="minorHAnsi"/>
          <w:color w:val="000000"/>
          <w:shd w:val="clear" w:color="auto" w:fill="FFFFFF"/>
        </w:rPr>
        <w:t xml:space="preserve"> pensione </w:t>
      </w:r>
      <w:r w:rsidR="00940E11" w:rsidRPr="00356F01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356F01">
        <w:rPr>
          <w:rFonts w:asciiTheme="minorHAnsi" w:hAnsiTheme="minorHAnsi"/>
          <w:color w:val="000000"/>
          <w:shd w:val="clear" w:color="auto" w:fill="FFFFFF"/>
        </w:rPr>
        <w:t>pubblica</w:t>
      </w:r>
      <w:r w:rsidR="001C19E1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356F01" w:rsidRPr="00356F01">
        <w:rPr>
          <w:rFonts w:asciiTheme="minorHAnsi" w:hAnsiTheme="minorHAnsi"/>
          <w:color w:val="000000"/>
          <w:shd w:val="clear" w:color="auto" w:fill="FFFFFF"/>
        </w:rPr>
        <w:t>il pensionamento a 60 anni, l’</w:t>
      </w:r>
      <w:r w:rsidR="001476E6" w:rsidRPr="00356F01">
        <w:rPr>
          <w:rFonts w:asciiTheme="minorHAnsi" w:hAnsiTheme="minorHAnsi"/>
          <w:color w:val="000000"/>
          <w:shd w:val="clear" w:color="auto" w:fill="FFFFFF"/>
        </w:rPr>
        <w:t>80</w:t>
      </w:r>
      <w:r w:rsidR="00940E11" w:rsidRPr="00356F01">
        <w:rPr>
          <w:rFonts w:asciiTheme="minorHAnsi" w:hAnsiTheme="minorHAnsi"/>
          <w:color w:val="000000"/>
          <w:shd w:val="clear" w:color="auto" w:fill="FFFFFF"/>
        </w:rPr>
        <w:t xml:space="preserve">% dell’ultima retribuzione </w:t>
      </w:r>
      <w:r w:rsidR="00DF0C8A" w:rsidRPr="00356F01">
        <w:rPr>
          <w:rFonts w:asciiTheme="minorHAnsi" w:hAnsiTheme="minorHAnsi"/>
          <w:color w:val="000000"/>
          <w:shd w:val="clear" w:color="auto" w:fill="FFFFFF"/>
        </w:rPr>
        <w:t>con 40 anni di lavoro</w:t>
      </w:r>
      <w:r w:rsidR="001476E6" w:rsidRPr="00356F01">
        <w:rPr>
          <w:rFonts w:asciiTheme="minorHAnsi" w:hAnsiTheme="minorHAnsi"/>
          <w:color w:val="000000"/>
          <w:shd w:val="clear" w:color="auto" w:fill="FFFFFF"/>
        </w:rPr>
        <w:t xml:space="preserve">, un aumento generalizzato delle pensioni in essere, </w:t>
      </w:r>
      <w:r w:rsidR="00356F01" w:rsidRPr="00356F01">
        <w:rPr>
          <w:rFonts w:asciiTheme="minorHAnsi" w:hAnsiTheme="minorHAnsi"/>
          <w:color w:val="000000"/>
          <w:shd w:val="clear" w:color="auto" w:fill="FFFFFF"/>
        </w:rPr>
        <w:t>l’</w:t>
      </w:r>
      <w:r w:rsidR="001476E6" w:rsidRPr="00356F01">
        <w:rPr>
          <w:rFonts w:asciiTheme="minorHAnsi" w:hAnsiTheme="minorHAnsi"/>
          <w:color w:val="000000"/>
          <w:shd w:val="clear" w:color="auto" w:fill="FFFFFF"/>
        </w:rPr>
        <w:t xml:space="preserve">adeguamento automatico alla dinamica retributiva e all’aumento dei prezzi </w:t>
      </w:r>
      <w:r w:rsidR="00DF0C8A" w:rsidRPr="00356F01">
        <w:rPr>
          <w:rFonts w:asciiTheme="minorHAnsi" w:hAnsiTheme="minorHAnsi"/>
          <w:color w:val="000000"/>
          <w:shd w:val="clear" w:color="auto" w:fill="FFFFFF"/>
        </w:rPr>
        <w:t>.</w:t>
      </w:r>
    </w:p>
    <w:p w:rsidR="001C19E1" w:rsidRPr="001C19E1" w:rsidRDefault="001C19E1" w:rsidP="00DF0C8A">
      <w:pPr>
        <w:jc w:val="both"/>
        <w:rPr>
          <w:rFonts w:asciiTheme="minorHAnsi" w:hAnsiTheme="minorHAnsi"/>
          <w:i/>
          <w:color w:val="000000"/>
          <w:sz w:val="16"/>
          <w:szCs w:val="16"/>
          <w:shd w:val="clear" w:color="auto" w:fill="FFFFFF"/>
        </w:rPr>
      </w:pPr>
      <w:r w:rsidRPr="001C19E1">
        <w:rPr>
          <w:rFonts w:asciiTheme="minorHAnsi" w:hAnsiTheme="minorHAnsi"/>
          <w:i/>
          <w:color w:val="000000"/>
          <w:sz w:val="16"/>
          <w:szCs w:val="16"/>
          <w:shd w:val="clear" w:color="auto" w:fill="FFFFFF"/>
        </w:rPr>
        <w:t>Milano maggio 2012</w:t>
      </w:r>
    </w:p>
    <w:p w:rsidR="001C19E1" w:rsidRPr="001C19E1" w:rsidRDefault="001C19E1" w:rsidP="00DF0C8A">
      <w:pPr>
        <w:jc w:val="both"/>
        <w:rPr>
          <w:rFonts w:asciiTheme="minorHAnsi" w:hAnsiTheme="minorHAnsi"/>
          <w:color w:val="000000"/>
          <w:sz w:val="16"/>
          <w:szCs w:val="16"/>
          <w:shd w:val="clear" w:color="auto" w:fill="FFFFFF"/>
        </w:rPr>
      </w:pPr>
    </w:p>
    <w:p w:rsidR="001C19E1" w:rsidRPr="001C19E1" w:rsidRDefault="001C19E1" w:rsidP="001C19E1">
      <w:pPr>
        <w:pStyle w:val="Pidipagina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1C19E1">
        <w:rPr>
          <w:rFonts w:ascii="Arial" w:hAnsi="Arial" w:cs="Arial"/>
          <w:b/>
          <w:bCs/>
          <w:sz w:val="36"/>
          <w:szCs w:val="36"/>
        </w:rPr>
        <w:t>Confederazione Unitaria di Base</w:t>
      </w:r>
    </w:p>
    <w:p w:rsidR="001C19E1" w:rsidRDefault="001C19E1" w:rsidP="001C19E1">
      <w:pPr>
        <w:pStyle w:val="Pidipagina"/>
        <w:spacing w:after="0"/>
        <w:jc w:val="center"/>
        <w:rPr>
          <w:rFonts w:cs="Arial"/>
        </w:rPr>
      </w:pPr>
      <w:r w:rsidRPr="00382A94">
        <w:rPr>
          <w:rFonts w:cs="Arial"/>
        </w:rPr>
        <w:t xml:space="preserve">Sede nazionale: Milano V.le Lombardia 20 - tel. 02/70631804 cub.nazionale@tiscali.it </w:t>
      </w:r>
      <w:r>
        <w:rPr>
          <w:rFonts w:cs="Arial"/>
        </w:rPr>
        <w:t xml:space="preserve"> </w:t>
      </w:r>
    </w:p>
    <w:p w:rsidR="001C19E1" w:rsidRPr="001C19E1" w:rsidRDefault="001C19E1" w:rsidP="001C19E1">
      <w:pPr>
        <w:pStyle w:val="Pidipagina"/>
        <w:spacing w:after="0"/>
        <w:jc w:val="center"/>
        <w:rPr>
          <w:rFonts w:cs="Arial"/>
        </w:rPr>
      </w:pPr>
      <w:r w:rsidRPr="00382A94">
        <w:rPr>
          <w:rFonts w:cs="Arial"/>
        </w:rPr>
        <w:t xml:space="preserve">www.cub.it – </w:t>
      </w:r>
      <w:hyperlink r:id="rId5" w:history="1">
        <w:r w:rsidRPr="00167B44">
          <w:rPr>
            <w:rStyle w:val="Collegamentoipertestuale"/>
            <w:rFonts w:cs="Arial"/>
          </w:rPr>
          <w:t>www.cubvideo.it</w:t>
        </w:r>
      </w:hyperlink>
    </w:p>
    <w:sectPr w:rsidR="001C19E1" w:rsidRPr="001C19E1" w:rsidSect="001C19E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89396A"/>
    <w:rsid w:val="000067D9"/>
    <w:rsid w:val="00062FE7"/>
    <w:rsid w:val="000667CA"/>
    <w:rsid w:val="001476E6"/>
    <w:rsid w:val="00156EC5"/>
    <w:rsid w:val="001C19E1"/>
    <w:rsid w:val="001F4362"/>
    <w:rsid w:val="00247212"/>
    <w:rsid w:val="002F2CE8"/>
    <w:rsid w:val="00356F01"/>
    <w:rsid w:val="003F0DAC"/>
    <w:rsid w:val="00400D08"/>
    <w:rsid w:val="00446653"/>
    <w:rsid w:val="00466EBC"/>
    <w:rsid w:val="00596965"/>
    <w:rsid w:val="00673604"/>
    <w:rsid w:val="00883388"/>
    <w:rsid w:val="0089396A"/>
    <w:rsid w:val="00904779"/>
    <w:rsid w:val="00940E11"/>
    <w:rsid w:val="00986C70"/>
    <w:rsid w:val="00987E87"/>
    <w:rsid w:val="00AC5796"/>
    <w:rsid w:val="00B36752"/>
    <w:rsid w:val="00C16BC7"/>
    <w:rsid w:val="00C17DF9"/>
    <w:rsid w:val="00DF0C8A"/>
    <w:rsid w:val="00E304C0"/>
    <w:rsid w:val="00E50A9D"/>
    <w:rsid w:val="00E6095E"/>
    <w:rsid w:val="00FB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96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9396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9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96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247212"/>
  </w:style>
  <w:style w:type="character" w:styleId="Enfasicorsivo">
    <w:name w:val="Emphasis"/>
    <w:basedOn w:val="Carpredefinitoparagrafo"/>
    <w:uiPriority w:val="20"/>
    <w:qFormat/>
    <w:rsid w:val="00940E11"/>
    <w:rPr>
      <w:i/>
      <w:iCs/>
    </w:rPr>
  </w:style>
  <w:style w:type="paragraph" w:styleId="Pidipagina">
    <w:name w:val="footer"/>
    <w:basedOn w:val="Normale"/>
    <w:link w:val="PidipaginaCarattere"/>
    <w:unhideWhenUsed/>
    <w:rsid w:val="001C19E1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1C19E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C1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bvideo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masella</dc:creator>
  <cp:keywords/>
  <dc:description/>
  <cp:lastModifiedBy>masella</cp:lastModifiedBy>
  <cp:revision>8</cp:revision>
  <cp:lastPrinted>2012-05-30T09:51:00Z</cp:lastPrinted>
  <dcterms:created xsi:type="dcterms:W3CDTF">2012-05-28T14:54:00Z</dcterms:created>
  <dcterms:modified xsi:type="dcterms:W3CDTF">2012-05-30T10:05:00Z</dcterms:modified>
</cp:coreProperties>
</file>